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Cs w:val="28"/>
        </w:rPr>
      </w:pPr>
      <w:r>
        <w:rPr>
          <w:szCs w:val="28"/>
          <w:lang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7675" cy="60960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476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25pt;height:48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Cs w:val="28"/>
        </w:rPr>
      </w:r>
      <w:r>
        <w:rPr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БЕРЕСТИН</w:t>
      </w:r>
      <w:r>
        <w:rPr>
          <w:b/>
          <w:szCs w:val="28"/>
        </w:rPr>
        <w:t xml:space="preserve">СЬКА МІСЬКА РАДА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jc w:val="center"/>
        <w:rPr>
          <w:b/>
          <w:szCs w:val="28"/>
          <w:lang w:eastAsia="zh-CN"/>
        </w:rPr>
      </w:pPr>
      <w:r>
        <w:rPr>
          <w:b/>
          <w:szCs w:val="28"/>
        </w:rPr>
        <w:t xml:space="preserve"> </w:t>
      </w:r>
      <w:r>
        <w:rPr>
          <w:b/>
          <w:szCs w:val="26"/>
          <w:lang w:eastAsia="zh-CN"/>
        </w:rPr>
        <w:t xml:space="preserve">ВИКОНАВЧИЙ КОМІТЕТ</w:t>
      </w:r>
      <w:r>
        <w:rPr>
          <w:b/>
          <w:szCs w:val="28"/>
          <w:lang w:eastAsia="zh-CN"/>
        </w:rPr>
      </w:r>
      <w:r>
        <w:rPr>
          <w:b/>
          <w:szCs w:val="28"/>
          <w:lang w:eastAsia="zh-CN"/>
        </w:rPr>
      </w:r>
    </w:p>
    <w:p>
      <w:pPr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Р І Ш Е Н Н Я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 січня 202</w:t>
      </w:r>
      <w:r>
        <w:rPr>
          <w:szCs w:val="28"/>
        </w:rPr>
        <w:t xml:space="preserve">6</w:t>
      </w:r>
      <w:r>
        <w:rPr>
          <w:szCs w:val="28"/>
        </w:rPr>
        <w:t xml:space="preserve"> року</w:t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 xml:space="preserve">м. </w:t>
      </w:r>
      <w:r>
        <w:rPr>
          <w:szCs w:val="28"/>
        </w:rPr>
        <w:t xml:space="preserve">Берестин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 xml:space="preserve">                 </w:t>
      </w:r>
      <w:r>
        <w:rPr>
          <w:szCs w:val="28"/>
        </w:rPr>
        <w:t xml:space="preserve">№ </w:t>
      </w:r>
      <w:r>
        <w:rPr>
          <w:szCs w:val="28"/>
        </w:rPr>
        <w:t xml:space="preserve">26</w:t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Про </w:t>
      </w:r>
      <w:r>
        <w:rPr>
          <w:szCs w:val="28"/>
        </w:rPr>
        <w:t xml:space="preserve">організацію</w:t>
      </w:r>
      <w:r>
        <w:rPr>
          <w:szCs w:val="28"/>
        </w:rPr>
        <w:t xml:space="preserve"> </w:t>
      </w:r>
      <w:r>
        <w:rPr>
          <w:szCs w:val="28"/>
        </w:rPr>
        <w:t xml:space="preserve">суспільно</w:t>
      </w:r>
      <w:r>
        <w:rPr>
          <w:szCs w:val="28"/>
        </w:rPr>
        <w:t xml:space="preserve"> </w:t>
      </w:r>
      <w:r>
        <w:rPr>
          <w:szCs w:val="28"/>
        </w:rPr>
        <w:t xml:space="preserve">к</w:t>
      </w:r>
      <w:r>
        <w:rPr>
          <w:szCs w:val="28"/>
        </w:rPr>
        <w:t xml:space="preserve">орисних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робіт</w:t>
      </w:r>
      <w:r>
        <w:rPr>
          <w:szCs w:val="28"/>
        </w:rPr>
        <w:t xml:space="preserve"> </w:t>
      </w:r>
      <w:r>
        <w:rPr>
          <w:szCs w:val="28"/>
        </w:rPr>
        <w:t xml:space="preserve">на території</w:t>
      </w:r>
      <w:r>
        <w:rPr>
          <w:szCs w:val="28"/>
        </w:rPr>
        <w:t xml:space="preserve">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ської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територіальної громади</w:t>
      </w:r>
      <w:r>
        <w:rPr>
          <w:szCs w:val="28"/>
        </w:rPr>
        <w:t xml:space="preserve"> </w:t>
      </w:r>
      <w:r>
        <w:rPr>
          <w:szCs w:val="28"/>
        </w:rPr>
        <w:t xml:space="preserve">в умовах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правового режиму воєнного стану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 w14:paraId="74767B27">
      <w:pPr>
        <w:pStyle w:val="895"/>
        <w:pBdr/>
        <w:spacing w:after="0" w:afterAutospacing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szCs w:val="28"/>
        </w:rPr>
        <w:t xml:space="preserve">Відповідно до статті 8 Закону України «Про правовий режим воєнного стану», Указу Президента України від 24</w:t>
      </w:r>
      <w:r>
        <w:rPr>
          <w:szCs w:val="28"/>
        </w:rPr>
        <w:t xml:space="preserve"> лютого </w:t>
      </w:r>
      <w:r>
        <w:rPr>
          <w:szCs w:val="28"/>
        </w:rPr>
        <w:t xml:space="preserve">2022 р</w:t>
      </w:r>
      <w:r>
        <w:rPr>
          <w:szCs w:val="28"/>
        </w:rPr>
        <w:t xml:space="preserve">оку</w:t>
      </w:r>
      <w:r>
        <w:rPr>
          <w:szCs w:val="28"/>
        </w:rPr>
        <w:t xml:space="preserve"> № 64/2022 «Про введення воєнного стану в Україні»</w:t>
      </w:r>
      <w:r>
        <w:rPr>
          <w:szCs w:val="28"/>
        </w:rPr>
        <w:t xml:space="preserve">,</w:t>
      </w:r>
      <w:r>
        <w:rPr>
          <w:szCs w:val="28"/>
        </w:rPr>
        <w:t xml:space="preserve"> затвердженого Законом України від 24</w:t>
      </w:r>
      <w:r>
        <w:rPr>
          <w:szCs w:val="28"/>
        </w:rPr>
        <w:t xml:space="preserve"> лютого </w:t>
      </w:r>
      <w:r>
        <w:rPr>
          <w:szCs w:val="28"/>
        </w:rPr>
        <w:t xml:space="preserve">2022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оку</w:t>
      </w:r>
      <w:r>
        <w:rPr>
          <w:szCs w:val="28"/>
        </w:rPr>
        <w:t xml:space="preserve"> № 2102-</w:t>
      </w:r>
      <w:r>
        <w:rPr>
          <w:szCs w:val="28"/>
          <w:lang w:val="en-US"/>
        </w:rPr>
        <w:t xml:space="preserve">IX</w:t>
      </w:r>
      <w:r>
        <w:rPr>
          <w:szCs w:val="28"/>
        </w:rPr>
        <w:t xml:space="preserve"> (зі змінами), Закону України від 15</w:t>
      </w:r>
      <w:r>
        <w:rPr>
          <w:szCs w:val="28"/>
        </w:rPr>
        <w:t xml:space="preserve"> березня </w:t>
      </w:r>
      <w:r>
        <w:rPr>
          <w:szCs w:val="28"/>
        </w:rPr>
        <w:t xml:space="preserve">2022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оку</w:t>
      </w:r>
      <w:r>
        <w:rPr>
          <w:szCs w:val="28"/>
        </w:rPr>
        <w:t xml:space="preserve"> № 2136-</w:t>
      </w:r>
      <w:r>
        <w:rPr>
          <w:szCs w:val="28"/>
          <w:lang w:val="en-US"/>
        </w:rPr>
        <w:t xml:space="preserve">IX</w:t>
      </w:r>
      <w:r>
        <w:rPr>
          <w:szCs w:val="28"/>
        </w:rPr>
        <w:t xml:space="preserve"> «Про організацію трудових відносин в умовах воєнного стану», Порядку залучення працездатних осіб </w:t>
      </w:r>
      <w:r>
        <w:rPr>
          <w:szCs w:val="28"/>
        </w:rPr>
        <w:t xml:space="preserve">до </w:t>
      </w:r>
      <w:r>
        <w:rPr>
          <w:szCs w:val="28"/>
        </w:rPr>
        <w:t xml:space="preserve">суспільно корисних робіт в умовах воєнного стану, затвердженого постановою Кабінету Міністрів Укр</w:t>
      </w:r>
      <w:r>
        <w:rPr>
          <w:szCs w:val="28"/>
        </w:rPr>
        <w:t xml:space="preserve">аїни від 13 липня </w:t>
      </w:r>
      <w:r>
        <w:rPr>
          <w:szCs w:val="28"/>
        </w:rPr>
        <w:t xml:space="preserve">2011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оку</w:t>
      </w:r>
      <w:r>
        <w:rPr>
          <w:szCs w:val="28"/>
        </w:rPr>
        <w:t xml:space="preserve"> № 753 (зі змінами)</w:t>
      </w:r>
      <w:r>
        <w:rPr>
          <w:szCs w:val="28"/>
        </w:rPr>
        <w:t xml:space="preserve"> (далі – Порядок)</w:t>
      </w:r>
      <w:r>
        <w:rPr>
          <w:szCs w:val="28"/>
        </w:rPr>
        <w:t xml:space="preserve">, враховуючи наказ</w:t>
      </w:r>
      <w:r>
        <w:rPr>
          <w:szCs w:val="28"/>
        </w:rPr>
        <w:t xml:space="preserve">и</w:t>
      </w:r>
      <w:r>
        <w:rPr>
          <w:szCs w:val="28"/>
        </w:rPr>
        <w:t xml:space="preserve"> начальника районної військової адміністрації від 16</w:t>
      </w:r>
      <w:r>
        <w:rPr>
          <w:szCs w:val="28"/>
        </w:rPr>
        <w:t xml:space="preserve"> травня </w:t>
      </w:r>
      <w:r>
        <w:rPr>
          <w:szCs w:val="28"/>
        </w:rPr>
        <w:t xml:space="preserve">2022 р</w:t>
      </w:r>
      <w:r>
        <w:rPr>
          <w:szCs w:val="28"/>
        </w:rPr>
        <w:t xml:space="preserve">оку</w:t>
      </w:r>
      <w:r>
        <w:rPr>
          <w:szCs w:val="28"/>
        </w:rPr>
        <w:t xml:space="preserve"> № 8-в «Про запровадження трудової повинності на території Берестинського району в умовах правового режиму воєнного стану»</w:t>
      </w:r>
      <w:r>
        <w:rPr>
          <w:szCs w:val="28"/>
        </w:rPr>
        <w:t xml:space="preserve"> та від 01 січня 2025 № 1-в «Про організацію суспільно корисних робіт на території Берестинського району Харківської області в умовах правового режиму воєнного стану»,</w:t>
      </w:r>
      <w:r>
        <w:rPr>
          <w:szCs w:val="28"/>
        </w:rPr>
        <w:t xml:space="preserve"> з метою проведення </w:t>
      </w:r>
      <w:r>
        <w:rPr>
          <w:szCs w:val="28"/>
        </w:rPr>
        <w:t xml:space="preserve">робіт </w:t>
      </w:r>
      <w:r>
        <w:rPr>
          <w:szCs w:val="28"/>
        </w:rPr>
        <w:t xml:space="preserve">на території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ської територіальної громади, що мають оборонний характер, а також ліквідації наслідків надзвичайних ситуацій, які виникли в період дії во</w:t>
      </w:r>
      <w:r>
        <w:rPr>
          <w:szCs w:val="28"/>
        </w:rPr>
        <w:t xml:space="preserve">єнного стану чи можуть виникнути та залучення працездатних осіб (у тому числі безробітних) до виконання суспільно корисних робіт в умовах воєнного стану, для задоволення потреб Збройних Сил України, інших військових формувань, правоохоронних органів і сил </w:t>
      </w:r>
      <w:r>
        <w:rPr>
          <w:szCs w:val="28"/>
        </w:rPr>
        <w:t xml:space="preserve">цивільного захисту, забезпечення функціонування національної економіки, системи забезпечення життєдіяльності населення та захисту критичної інфраструктури і не потребують спеціальної професійної підготовки,</w:t>
      </w:r>
      <w:r>
        <w:rPr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6A05030A">
      <w:pPr>
        <w:pStyle w:val="895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2B5EAC0">
      <w:pPr>
        <w:pStyle w:val="895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3"/>
        <w:numPr>
          <w:ilvl w:val="0"/>
          <w:numId w:val="3"/>
        </w:numPr>
        <w:pBdr/>
        <w:tabs>
          <w:tab w:val="left" w:leader="none" w:pos="993"/>
        </w:tabs>
        <w:spacing/>
        <w:ind w:firstLine="567" w:left="0"/>
        <w:jc w:val="both"/>
        <w:rPr>
          <w:szCs w:val="28"/>
        </w:rPr>
      </w:pPr>
      <w:r>
        <w:rPr>
          <w:szCs w:val="28"/>
        </w:rPr>
        <w:t xml:space="preserve">Організувати суспільно корисні роботи в умовах воєнного стану на території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ської територіальної громади для працездатних осіб (у тому числі безробітних) не залучених до роботи в оборонній сфері та захисту критичної інфраструктури і не заброньованих на період дії воєнного стану та </w:t>
      </w:r>
      <w:r>
        <w:rPr>
          <w:szCs w:val="28"/>
        </w:rPr>
        <w:t xml:space="preserve">залучити їх до виконання суспільно корисних робіт, що виконуються в умовах воєнного стану відповідно до Порядку. 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 w:firstLine="567"/>
        <w:contextualSpacing w:val="true"/>
        <w:jc w:val="both"/>
        <w:rPr>
          <w:szCs w:val="28"/>
        </w:rPr>
      </w:pPr>
      <w:r>
        <w:rPr>
          <w:szCs w:val="28"/>
        </w:rPr>
        <w:t xml:space="preserve">2. Затвердити </w:t>
      </w:r>
      <w:r>
        <w:rPr>
          <w:szCs w:val="28"/>
        </w:rPr>
        <w:t xml:space="preserve">перелік </w:t>
      </w:r>
      <w:r>
        <w:rPr>
          <w:szCs w:val="28"/>
        </w:rPr>
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ської територіальної громади</w:t>
      </w:r>
      <w:r>
        <w:rPr>
          <w:szCs w:val="28"/>
        </w:rPr>
        <w:t xml:space="preserve"> у період дії воєнного стану</w:t>
      </w:r>
      <w:r>
        <w:rPr>
          <w:szCs w:val="28"/>
        </w:rPr>
        <w:t xml:space="preserve"> </w:t>
      </w:r>
      <w:r>
        <w:rPr>
          <w:color w:val="000000"/>
          <w:shd w:val="clear" w:color="auto" w:fill="ffffff"/>
        </w:rPr>
        <w:t xml:space="preserve">(дода</w:t>
      </w:r>
      <w:r>
        <w:rPr>
          <w:color w:val="000000"/>
          <w:shd w:val="clear" w:color="auto" w:fill="ffffff"/>
        </w:rPr>
        <w:t xml:space="preserve">ток 1</w:t>
      </w:r>
      <w:r>
        <w:rPr>
          <w:color w:val="000000"/>
          <w:shd w:val="clear" w:color="auto" w:fill="ffffff"/>
        </w:rPr>
        <w:t xml:space="preserve">)</w:t>
      </w:r>
      <w:r>
        <w:rPr>
          <w:color w:val="000000"/>
          <w:shd w:val="clear" w:color="auto" w:fill="ffffff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Bdr/>
        <w:tabs>
          <w:tab w:val="left" w:leader="none" w:pos="851"/>
        </w:tabs>
        <w:spacing/>
        <w:ind w:firstLine="567"/>
        <w:jc w:val="both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 </w:t>
      </w:r>
      <w:r>
        <w:rPr>
          <w:szCs w:val="28"/>
        </w:rPr>
        <w:t xml:space="preserve">Визначити</w:t>
      </w:r>
      <w:r>
        <w:rPr>
          <w:szCs w:val="28"/>
        </w:rPr>
        <w:t xml:space="preserve"> </w:t>
      </w:r>
      <w:r>
        <w:rPr>
          <w:szCs w:val="28"/>
        </w:rPr>
        <w:t xml:space="preserve">перелік замовників суспільно корисних робіт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ської територіальної громади</w:t>
      </w:r>
      <w:r>
        <w:rPr>
          <w:szCs w:val="28"/>
        </w:rPr>
        <w:t xml:space="preserve"> </w:t>
      </w:r>
      <w:r>
        <w:rPr>
          <w:szCs w:val="28"/>
        </w:rPr>
        <w:t xml:space="preserve">, де будуть працювати працездатні особи, в тому числі зареєстровані як безробітні, у період дії воєнного стану</w:t>
      </w:r>
      <w:r>
        <w:rPr>
          <w:szCs w:val="28"/>
        </w:rPr>
        <w:t xml:space="preserve"> (додаток 2)</w:t>
      </w:r>
      <w:r>
        <w:rPr>
          <w:szCs w:val="28"/>
        </w:rPr>
        <w:t xml:space="preserve"> та визначити межі територій, транспортні маршрути та об’єкти, де план</w:t>
      </w:r>
      <w:r>
        <w:rPr>
          <w:szCs w:val="28"/>
        </w:rPr>
        <w:t xml:space="preserve">ується виконання суспільно корисних робіт, строк виконання, орієнтовну чисельність осіб, критерії їх відбору, місце і час збору та відповідальних за інформування, оповіщення та збір працездатних осіб, що залучатимуться до виконання суспільно корисних робіт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16"/>
        <w:pBdr/>
        <w:tabs>
          <w:tab w:val="left" w:leader="none" w:pos="1061"/>
        </w:tabs>
        <w:spacing w:after="0"/>
        <w:ind w:firstLine="567"/>
        <w:jc w:val="both"/>
        <w:rPr/>
      </w:pPr>
      <w:r>
        <w:t xml:space="preserve">4. </w:t>
      </w:r>
      <w:r>
        <w:rPr>
          <w:color w:val="000000"/>
          <w:lang w:val="uk-UA" w:eastAsia="uk-UA" w:bidi="uk-UA"/>
        </w:rPr>
        <w:t xml:space="preserve">Фінансування суспільно корисних робіт здійснити за рахунок коштів замовника суспільно корисних робіт, коштів місцевих бюджетів, або інших джерел, не заборонених законодавством (у разі залучення інших працездатн</w:t>
      </w:r>
      <w:r>
        <w:rPr>
          <w:color w:val="000000"/>
          <w:lang w:val="uk-UA" w:eastAsia="uk-UA" w:bidi="uk-UA"/>
        </w:rPr>
        <w:t xml:space="preserve">их</w:t>
      </w:r>
      <w:r>
        <w:rPr>
          <w:color w:val="000000"/>
          <w:lang w:val="uk-UA" w:eastAsia="uk-UA" w:bidi="uk-UA"/>
        </w:rPr>
        <w:t xml:space="preserve"> осіб).</w:t>
      </w:r>
      <w:r/>
    </w:p>
    <w:p>
      <w:pPr>
        <w:pStyle w:val="916"/>
        <w:pBdr/>
        <w:spacing w:after="0"/>
        <w:ind w:firstLine="567"/>
        <w:jc w:val="both"/>
        <w:rPr>
          <w:lang w:val="uk-UA"/>
        </w:rPr>
      </w:pPr>
      <w:r>
        <w:rPr>
          <w:shd w:val="clear" w:color="auto" w:fill="ffffff"/>
          <w:lang w:val="uk-UA"/>
        </w:rPr>
        <w:t xml:space="preserve">Фінансування суспільно к</w:t>
      </w:r>
      <w:r>
        <w:rPr>
          <w:shd w:val="clear" w:color="auto" w:fill="ffffff"/>
          <w:lang w:val="uk-UA"/>
        </w:rPr>
        <w:t xml:space="preserve">орисних робіт, що виконуються зареєстрованими безробітними та незайнятими внутрішньо переміщеними особами працездатного віку з числа застрахованих осіб, які не мають статусу зареєстрованого безробітного, здійснюється за рахунок коштів Фонду загальнообов'яз</w:t>
      </w:r>
      <w:r>
        <w:rPr>
          <w:shd w:val="clear" w:color="auto" w:fill="ffffff"/>
          <w:lang w:val="uk-UA"/>
        </w:rPr>
        <w:t xml:space="preserve">кового державного соціального страхування на випадок безробіття (далі - Фонд) в межах коштів, передбачених у бюджеті Фонду на відповідні цілі, а також коштів місцевих бюджетів, підприємств, установ, організацій, інших джерел, не заборонених законодавством.</w:t>
      </w:r>
      <w:r>
        <w:rPr>
          <w:lang w:val="uk-UA"/>
        </w:rPr>
      </w:r>
      <w:r>
        <w:rPr>
          <w:lang w:val="uk-UA"/>
        </w:rPr>
      </w:r>
    </w:p>
    <w:p>
      <w:pPr>
        <w:pStyle w:val="916"/>
        <w:pBdr/>
        <w:spacing w:after="0"/>
        <w:ind w:firstLine="567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Фінансування </w:t>
      </w:r>
      <w:r>
        <w:rPr>
          <w:lang w:val="uk-UA" w:eastAsia="uk-UA" w:bidi="uk-UA"/>
        </w:rPr>
        <w:t xml:space="preserve">суспільно корисних робіт здійснити шляхом спрямування коштів на оплату праці, </w:t>
      </w:r>
      <w:r>
        <w:rPr>
          <w:shd w:val="clear" w:color="auto" w:fill="ffffff"/>
          <w:lang w:val="uk-UA"/>
        </w:rPr>
        <w:t xml:space="preserve">розмір якої не може перевищувати півтора розміру мінімальної заробітної плати, встановленої на дату її нарахування,</w:t>
      </w:r>
      <w:r>
        <w:rPr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за повністю виконану місячну (годинну) норму праці, встановлену з урахуванням положень </w:t>
      </w:r>
      <w:r>
        <w:rPr>
          <w:lang w:val="uk-UA" w:eastAsia="uk-UA"/>
        </w:rPr>
        <w:t xml:space="preserve">з</w:t>
      </w:r>
      <w:r>
        <w:rPr>
          <w:lang w:val="uk-UA" w:eastAsia="uk-UA"/>
        </w:rPr>
        <w:t xml:space="preserve">аконів України </w:t>
      </w:r>
      <w:hyperlink r:id="rId11" w:tooltip="https://zakon.rada.gov.ua/laws/show/108/95-%D0%B2%D1%80" w:history="1">
        <w:r>
          <w:rPr>
            <w:lang w:val="uk-UA" w:eastAsia="uk-UA"/>
          </w:rPr>
          <w:t xml:space="preserve">«</w:t>
        </w:r>
        <w:r>
          <w:rPr>
            <w:lang w:val="uk-UA" w:eastAsia="uk-UA"/>
          </w:rPr>
          <w:t xml:space="preserve">Про оплату праці</w:t>
        </w:r>
      </w:hyperlink>
      <w:r>
        <w:rPr>
          <w:lang w:val="uk-UA" w:eastAsia="uk-UA"/>
        </w:rPr>
        <w:t xml:space="preserve">» та </w:t>
      </w:r>
      <w:r>
        <w:rPr>
          <w:color w:val="000000"/>
          <w:lang w:val="uk-UA" w:eastAsia="uk-UA" w:bidi="uk-UA"/>
        </w:rPr>
        <w:t xml:space="preserve">«Про організацію трудових відносин в умовах воєнного стану», сплату єдиного внеску на загальнообов’язкове державне соціальне страхування, оплату перших</w:t>
      </w:r>
      <w:r>
        <w:rPr>
          <w:color w:val="000000"/>
          <w:lang w:val="uk-UA" w:eastAsia="uk-UA" w:bidi="uk-UA"/>
        </w:rPr>
        <w:t xml:space="preserve"> п’яти днів тимчасової непрацездатності в межах дії строкового трудового договору, оплату проїзду в межах району до місця виконання робіт та у зворотному напрямку осіб, які беруть участь у суспільно корисних роботах (у разі потреби) відповідно до Порядку. </w:t>
      </w:r>
      <w:r>
        <w:rPr>
          <w:color w:val="000000"/>
          <w:lang w:val="uk-UA" w:eastAsia="uk-UA" w:bidi="uk-UA"/>
        </w:rPr>
        <w:t xml:space="preserve">У разі залучення до суспільно корисних робіт зареєстрованих безробітних замовнику (підприємство, установа, організація) укласти договір про організацію та фінансування суспільно корисних робіт з філіями Харківського обласного центру зайнятості.</w:t>
      </w:r>
      <w:r>
        <w:rPr>
          <w:color w:val="000000"/>
          <w:lang w:val="uk-UA" w:eastAsia="uk-UA" w:bidi="uk-UA"/>
        </w:rPr>
      </w:r>
      <w:r>
        <w:rPr>
          <w:color w:val="000000"/>
          <w:lang w:val="uk-UA" w:eastAsia="uk-UA" w:bidi="uk-UA"/>
        </w:rPr>
      </w:r>
    </w:p>
    <w:p>
      <w:pPr>
        <w:pBdr/>
        <w:spacing/>
        <w:ind w:firstLine="567"/>
        <w:jc w:val="both"/>
        <w:rPr>
          <w:szCs w:val="28"/>
        </w:rPr>
      </w:pPr>
      <w:r>
        <w:rPr>
          <w:szCs w:val="28"/>
        </w:rPr>
        <w:t xml:space="preserve">5</w:t>
      </w:r>
      <w:r>
        <w:rPr>
          <w:szCs w:val="28"/>
        </w:rPr>
        <w:t xml:space="preserve">. </w:t>
      </w:r>
      <w:r>
        <w:rPr>
          <w:szCs w:val="28"/>
        </w:rPr>
        <w:t xml:space="preserve">Замовникам з кожною особою, залученою до суспільно корисних робіт, укласти строковий трудовий договір.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 w:firstLine="567"/>
        <w:jc w:val="both"/>
        <w:rPr>
          <w:szCs w:val="28"/>
        </w:rPr>
      </w:pPr>
      <w:r>
        <w:rPr>
          <w:szCs w:val="28"/>
        </w:rPr>
        <w:t xml:space="preserve">6</w:t>
      </w:r>
      <w:r>
        <w:rPr>
          <w:szCs w:val="28"/>
        </w:rPr>
        <w:t xml:space="preserve">. </w:t>
      </w:r>
      <w:r>
        <w:rPr>
          <w:szCs w:val="28"/>
        </w:rPr>
        <w:t xml:space="preserve">Дане </w:t>
      </w:r>
      <w:r>
        <w:rPr>
          <w:szCs w:val="28"/>
        </w:rPr>
        <w:t xml:space="preserve">рішення довести до відома зацікавлених установ та організацій.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7</w:t>
      </w:r>
      <w:r>
        <w:rPr>
          <w:color w:val="000000" w:themeColor="text1"/>
          <w:szCs w:val="28"/>
        </w:rPr>
        <w:t xml:space="preserve">. </w:t>
      </w:r>
      <w:r>
        <w:rPr>
          <w:color w:val="000000" w:themeColor="text1"/>
          <w:szCs w:val="28"/>
        </w:rPr>
        <w:t xml:space="preserve">Контроль за виконанням вказаного рішення залишаю за собою</w:t>
      </w:r>
      <w:r>
        <w:rPr>
          <w:color w:val="000000" w:themeColor="text1"/>
          <w:szCs w:val="28"/>
        </w:rPr>
        <w:t xml:space="preserve">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2BEA69C2">
      <w:pPr>
        <w:pStyle w:val="895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F733273">
      <w:pPr>
        <w:pStyle w:val="895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>
      <w:pPr>
        <w:pBdr/>
        <w:spacing/>
        <w:ind w:left="5670"/>
        <w:contextualSpacing w:val="true"/>
        <w:rPr>
          <w:sz w:val="24"/>
        </w:rPr>
      </w:pPr>
      <w:r>
        <w:rPr>
          <w:sz w:val="24"/>
        </w:rPr>
        <w:t xml:space="preserve">Додаток 1</w:t>
      </w:r>
      <w:r>
        <w:rPr>
          <w:sz w:val="24"/>
        </w:rPr>
      </w:r>
      <w:r>
        <w:rPr>
          <w:sz w:val="24"/>
        </w:rPr>
      </w:r>
    </w:p>
    <w:p>
      <w:pPr>
        <w:pBdr/>
        <w:spacing/>
        <w:ind w:left="5670"/>
        <w:contextualSpacing w:val="true"/>
        <w:rPr>
          <w:sz w:val="24"/>
          <w:szCs w:val="24"/>
        </w:rPr>
      </w:pPr>
      <w:r>
        <w:rPr>
          <w:sz w:val="24"/>
        </w:rPr>
        <w:t xml:space="preserve">до </w:t>
      </w:r>
      <w:r>
        <w:rPr>
          <w:sz w:val="24"/>
        </w:rPr>
        <w:t xml:space="preserve">рішення виконкому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0F131248">
      <w:pPr>
        <w:pBdr/>
        <w:spacing/>
        <w:ind w:left="5670"/>
        <w:contextualSpacing w:val="true"/>
        <w:rPr>
          <w:sz w:val="24"/>
          <w:szCs w:val="24"/>
        </w:rPr>
      </w:pPr>
      <w:r>
        <w:rPr>
          <w:sz w:val="24"/>
        </w:rPr>
        <w:t xml:space="preserve">Берестинської міської ради</w:t>
      </w:r>
      <w:r>
        <w:rPr>
          <w:sz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left="5670"/>
        <w:contextualSpacing w:val="true"/>
        <w:rPr>
          <w:sz w:val="24"/>
        </w:rPr>
      </w:pPr>
      <w:r>
        <w:rPr>
          <w:sz w:val="24"/>
        </w:rPr>
        <w:t xml:space="preserve">від </w:t>
      </w:r>
      <w:r>
        <w:rPr>
          <w:sz w:val="24"/>
        </w:rPr>
        <w:t xml:space="preserve">15.01.2026</w:t>
      </w:r>
      <w:r>
        <w:rPr>
          <w:sz w:val="24"/>
        </w:rPr>
        <w:t xml:space="preserve"> </w:t>
      </w:r>
      <w:r>
        <w:rPr>
          <w:sz w:val="24"/>
        </w:rPr>
        <w:t xml:space="preserve"> № </w:t>
      </w:r>
      <w:r>
        <w:rPr>
          <w:sz w:val="24"/>
        </w:rPr>
        <w:t xml:space="preserve">26</w:t>
      </w:r>
      <w:r>
        <w:rPr>
          <w:sz w:val="24"/>
        </w:rPr>
      </w:r>
    </w:p>
    <w:p>
      <w:pPr>
        <w:pBdr/>
        <w:spacing/>
        <w:ind/>
        <w:contextualSpacing w:val="true"/>
        <w:jc w:val="center"/>
        <w:rPr>
          <w:i/>
          <w:szCs w:val="28"/>
        </w:rPr>
      </w:pPr>
      <w:r>
        <w:rPr>
          <w:i/>
          <w:szCs w:val="28"/>
        </w:rPr>
      </w:r>
      <w:r>
        <w:rPr>
          <w:i/>
          <w:szCs w:val="28"/>
        </w:rPr>
      </w:r>
      <w:r>
        <w:rPr>
          <w:i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  <w:t xml:space="preserve">ПЕРЕЛІК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  <w:t xml:space="preserve">видів суспільно корисних робіт, що виконуються в умовах воєнного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стану, до виконання яких залучаються працездатні особи, в тому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числі безробітні</w:t>
      </w:r>
      <w:r>
        <w:rPr>
          <w:b/>
          <w:szCs w:val="28"/>
        </w:rPr>
        <w:t xml:space="preserve">,</w:t>
      </w:r>
      <w:r>
        <w:rPr>
          <w:b/>
          <w:szCs w:val="28"/>
        </w:rPr>
        <w:t xml:space="preserve"> на території  </w:t>
      </w:r>
      <w:r>
        <w:rPr>
          <w:b/>
          <w:szCs w:val="28"/>
        </w:rPr>
        <w:t xml:space="preserve">Берестин</w:t>
      </w:r>
      <w:r>
        <w:rPr>
          <w:b/>
          <w:szCs w:val="28"/>
        </w:rPr>
        <w:t xml:space="preserve">ської територіальної громади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  <w:t xml:space="preserve">у період дії воєнного стану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Ремонтно-відновлювальні роботи, насамперед роботи, що виконуються на об’єктах забезпечення життєдіяльності.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Розбір завалів, розчищення залізничних колій та автомобільних доріг.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Будівництво захисних споруд цивільного захисту, швидкоспоруджуваних захисних споруд цивільного захисту та створення найпростіших укриттів.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Ремонт і будівництво житлових приміщень.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Роботи з підтримання у готовності захисних споруд цивільного захисту до використання за призначенням та їх експлуатації, пристосування існуючих наземних або підземних приміщень під найпростіші укриття.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Вантажно-розвантажувальні роботи, що виконуються на залізницях.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Сільськогосподарські роботи (весняно-польові роботи, збирання врожаю, сінокосіння).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Надання допомоги населенню, насамперед особам з інвалідністю, дітям, громадянам похилого віку, хворим та іншим особам, які не мають можливості самостійно протидіяти несприятливим факторам воєнного характеру.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Організація забезпечення життєдіяльності громадян, що постраждали внаслідок бойових дій.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  <w:tab w:val="left" w:leader="none" w:pos="1418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Роботи із забезпечення сталого функціонування об’єктів підвищеної безпеки на випадок надзвичайних ситуацій.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Роботи, пов’язані з підтриманням громадського порядку.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Упорядкування, відновлення та благоустрій прибережних смуг, природних джерел та водоймищ, русел річок, мостових споруд.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Заготівля дров для </w:t>
      </w:r>
      <w:r>
        <w:rPr>
          <w:szCs w:val="28"/>
          <w:lang w:eastAsia="uk-UA"/>
        </w:rPr>
        <w:t xml:space="preserve">опалювального сезону.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Ліквідація стихійних сміттєзвалищ та облаштування полігонів твердих побутових відходів.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iCs/>
          <w:szCs w:val="28"/>
        </w:rPr>
        <w:t xml:space="preserve">Вантажно-розвантажувальні роботи, фасування та видача гуманітарної допомоги та інші роботи, спрямовані на підтримку населення, які у зв’язку з воєнним станом опинилися у складних життєвих обставинах.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</w:rPr>
        <w:t xml:space="preserve">Надання  соціальних послуг сім’ям, членам сімей військовослужбовців, які беруть участь або загинули під час участі у здійсненні заходів із забезпечення національної безпеки і оборони.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>
      <w:pPr>
        <w:pStyle w:val="913"/>
        <w:numPr>
          <w:ilvl w:val="0"/>
          <w:numId w:val="4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</w:rPr>
        <w:t xml:space="preserve">Догляд за громадянами у комунальних закладах охорони здоров</w:t>
      </w:r>
      <w:r>
        <w:rPr>
          <w:rFonts w:ascii="Calibri" w:hAnsi="Calibri"/>
          <w:szCs w:val="28"/>
        </w:rPr>
        <w:t xml:space="preserve">'</w:t>
      </w:r>
      <w:r>
        <w:rPr>
          <w:szCs w:val="28"/>
        </w:rPr>
        <w:t xml:space="preserve">я та соціальної сфери.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 w14:paraId="68C53FE8">
      <w:pPr>
        <w:pStyle w:val="913"/>
        <w:numPr>
          <w:ilvl w:val="0"/>
          <w:numId w:val="7"/>
        </w:numPr>
        <w:pBdr/>
        <w:shd w:val="clear" w:color="auto" w:fill="ffffff"/>
        <w:tabs>
          <w:tab w:val="left" w:leader="none" w:pos="993"/>
        </w:tabs>
        <w:spacing/>
        <w:ind w:firstLine="567" w:left="0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Заходи з підтримки Збройних Сил України (</w:t>
      </w:r>
      <w:r>
        <w:rPr>
          <w:iCs/>
          <w:szCs w:val="28"/>
        </w:rPr>
        <w:t xml:space="preserve">плетіння маскувальних сіток, виготовлення окопних свічок</w:t>
      </w:r>
      <w:r>
        <w:rPr>
          <w:iCs/>
          <w:szCs w:val="28"/>
          <w:lang w:eastAsia="ar-SA"/>
        </w:rPr>
        <w:t xml:space="preserve"> тощо)</w:t>
      </w:r>
      <w:r>
        <w:rPr>
          <w:iCs/>
          <w:szCs w:val="28"/>
          <w:lang w:eastAsia="ar-SA"/>
        </w:rPr>
        <w:t xml:space="preserve">. </w:t>
      </w:r>
      <w:r>
        <w:rPr>
          <w:szCs w:val="28"/>
          <w:lang w:eastAsia="uk-UA"/>
        </w:rPr>
      </w:r>
      <w:r>
        <w:rPr>
          <w:szCs w:val="28"/>
          <w:lang w:eastAsia="uk-UA"/>
        </w:rPr>
      </w:r>
    </w:p>
    <w:p w14:paraId="072FA494">
      <w:pPr>
        <w:pBdr/>
        <w:shd w:val="clear" w:color="auto" w:fill="ffffff"/>
        <w:tabs>
          <w:tab w:val="left" w:leader="none" w:pos="993"/>
        </w:tabs>
        <w:spacing/>
        <w:ind w:firstLine="0" w:left="567"/>
        <w:jc w:val="both"/>
        <w:rPr>
          <w:lang w:eastAsia="uk-UA"/>
        </w:rPr>
      </w:pPr>
      <w:r>
        <w:rPr>
          <w:szCs w:val="28"/>
          <w:highlight w:val="none"/>
          <w:lang w:eastAsia="uk-UA"/>
        </w:rPr>
      </w:r>
      <w:r>
        <w:rPr>
          <w:szCs w:val="28"/>
          <w:highlight w:val="none"/>
          <w:lang w:eastAsia="uk-UA"/>
        </w:rPr>
      </w:r>
      <w:r>
        <w:rPr>
          <w:lang w:eastAsia="uk-UA"/>
        </w:rPr>
      </w:r>
    </w:p>
    <w:p>
      <w:pPr>
        <w:pBdr/>
        <w:shd w:val="clear" w:color="auto" w:fill="ffffff"/>
        <w:spacing/>
        <w:ind w:firstLine="450"/>
        <w:jc w:val="both"/>
        <w:rPr>
          <w:szCs w:val="28"/>
          <w:lang w:eastAsia="uk-UA"/>
        </w:rPr>
      </w:pPr>
      <w:r/>
      <w:bookmarkStart w:id="2" w:name="n109"/>
      <w:r/>
      <w:bookmarkStart w:id="3" w:name="n111"/>
      <w:r/>
      <w:bookmarkStart w:id="4" w:name="n112"/>
      <w:r/>
      <w:bookmarkStart w:id="5" w:name="n113"/>
      <w:r/>
      <w:bookmarkEnd w:id="2"/>
      <w:r/>
      <w:bookmarkEnd w:id="3"/>
      <w:r/>
      <w:bookmarkEnd w:id="4"/>
      <w:r/>
      <w:bookmarkEnd w:id="5"/>
      <w:r>
        <w:rPr>
          <w:szCs w:val="28"/>
          <w:lang w:eastAsia="uk-UA"/>
        </w:rPr>
      </w:r>
      <w:r>
        <w:rPr>
          <w:szCs w:val="28"/>
          <w:lang w:eastAsia="uk-UA"/>
        </w:rPr>
      </w:r>
    </w:p>
    <w:p w14:paraId="62713D8D">
      <w:pPr>
        <w:pBdr/>
        <w:shd w:val="clear" w:color="auto" w:fill="ffffff"/>
        <w:spacing/>
        <w:ind w:firstLine="450"/>
        <w:jc w:val="both"/>
        <w:rPr>
          <w:color w:val="ff0000"/>
          <w:lang w:eastAsia="uk-UA"/>
        </w:rPr>
      </w:pPr>
      <w:r>
        <w:rPr>
          <w:color w:val="ff0000"/>
          <w:szCs w:val="28"/>
          <w:lang w:eastAsia="uk-UA"/>
        </w:rPr>
      </w:r>
      <w:r>
        <w:rPr>
          <w:color w:val="ff0000"/>
          <w:szCs w:val="28"/>
          <w:lang w:eastAsia="uk-UA"/>
        </w:rPr>
      </w:r>
      <w:bookmarkStart w:id="6" w:name="n114"/>
      <w:r>
        <w:rPr>
          <w:color w:val="ff0000"/>
          <w:szCs w:val="28"/>
          <w:lang w:eastAsia="uk-UA"/>
        </w:rPr>
      </w:r>
      <w:bookmarkStart w:id="7" w:name="n115"/>
      <w:r>
        <w:rPr>
          <w:color w:val="ff0000"/>
          <w:szCs w:val="28"/>
          <w:lang w:eastAsia="uk-UA"/>
        </w:rPr>
      </w:r>
      <w:bookmarkStart w:id="8" w:name="n116"/>
      <w:r>
        <w:rPr>
          <w:color w:val="ff0000"/>
          <w:szCs w:val="28"/>
          <w:lang w:eastAsia="uk-UA"/>
        </w:rPr>
      </w:r>
      <w:bookmarkStart w:id="9" w:name="n117"/>
      <w:r>
        <w:rPr>
          <w:color w:val="ff0000"/>
          <w:szCs w:val="28"/>
          <w:lang w:eastAsia="uk-UA"/>
        </w:rPr>
      </w:r>
      <w:bookmarkStart w:id="10" w:name="n118"/>
      <w:r>
        <w:rPr>
          <w:color w:val="ff0000"/>
          <w:szCs w:val="28"/>
          <w:lang w:eastAsia="uk-UA"/>
        </w:rPr>
      </w:r>
      <w:bookmarkStart w:id="11" w:name="n119"/>
      <w:r>
        <w:rPr>
          <w:color w:val="ff0000"/>
          <w:szCs w:val="28"/>
          <w:lang w:eastAsia="uk-UA"/>
        </w:rPr>
      </w:r>
      <w:bookmarkEnd w:id="6"/>
      <w:r>
        <w:rPr>
          <w:color w:val="ff0000"/>
          <w:szCs w:val="28"/>
          <w:lang w:eastAsia="uk-UA"/>
        </w:rPr>
      </w:r>
      <w:bookmarkEnd w:id="7"/>
      <w:r>
        <w:rPr>
          <w:color w:val="ff0000"/>
          <w:szCs w:val="28"/>
          <w:lang w:eastAsia="uk-UA"/>
        </w:rPr>
      </w:r>
      <w:bookmarkEnd w:id="8"/>
      <w:r>
        <w:rPr>
          <w:color w:val="ff0000"/>
          <w:szCs w:val="28"/>
          <w:lang w:eastAsia="uk-UA"/>
        </w:rPr>
      </w:r>
      <w:bookmarkEnd w:id="9"/>
      <w:r>
        <w:rPr>
          <w:color w:val="ff0000"/>
          <w:szCs w:val="28"/>
          <w:lang w:eastAsia="uk-UA"/>
        </w:rPr>
      </w:r>
      <w:bookmarkEnd w:id="10"/>
      <w:r>
        <w:rPr>
          <w:color w:val="ff0000"/>
          <w:szCs w:val="28"/>
          <w:lang w:eastAsia="uk-UA"/>
        </w:rPr>
      </w:r>
      <w:bookmarkEnd w:id="11"/>
      <w:r>
        <w:rPr>
          <w:color w:val="ff0000"/>
          <w:lang w:eastAsia="uk-UA"/>
        </w:rPr>
      </w:r>
      <w:r>
        <w:rPr>
          <w:color w:val="ff0000"/>
          <w:lang w:eastAsia="uk-UA"/>
        </w:rPr>
      </w:r>
    </w:p>
    <w:p>
      <w:pPr>
        <w:pBdr/>
        <w:shd w:val="clear" w:color="auto" w:fill="ffffff"/>
        <w:spacing/>
        <w:ind w:firstLine="450"/>
        <w:jc w:val="both"/>
        <w:rPr>
          <w:color w:val="ff0000"/>
          <w:lang w:eastAsia="uk-UA"/>
        </w:rPr>
      </w:pPr>
      <w:r>
        <w:rPr>
          <w:color w:val="ff0000"/>
          <w:szCs w:val="28"/>
          <w:lang w:eastAsia="uk-UA"/>
        </w:rPr>
      </w:r>
      <w:r>
        <w:rPr>
          <w:color w:val="ff0000"/>
          <w:lang w:eastAsia="uk-UA"/>
        </w:rPr>
      </w:r>
      <w:r>
        <w:rPr>
          <w:color w:val="ff0000"/>
          <w:lang w:eastAsia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Керуючий справами (секретар)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виконавчого комітету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</w:t>
      </w:r>
      <w:r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 xml:space="preserve">Катерина ХУДЯКОВА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09EC25B"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2F9DF3"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Cs w:val="28"/>
        </w:rPr>
      </w:pPr>
      <w:r>
        <w:rPr>
          <w:szCs w:val="28"/>
        </w:rPr>
        <w:t xml:space="preserve">ПОГОДЖЕНО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Cs w:val="28"/>
        </w:rPr>
      </w:pPr>
      <w:r>
        <w:rPr>
          <w:szCs w:val="28"/>
        </w:rPr>
        <w:t xml:space="preserve">Начальник </w:t>
      </w:r>
      <w:r>
        <w:rPr>
          <w:szCs w:val="28"/>
        </w:rPr>
        <w:t xml:space="preserve">Берестин</w:t>
      </w:r>
      <w:r>
        <w:rPr>
          <w:szCs w:val="28"/>
        </w:rPr>
        <w:t xml:space="preserve">ського РТЦК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Cs w:val="28"/>
        </w:rPr>
      </w:pPr>
      <w:r>
        <w:rPr>
          <w:szCs w:val="28"/>
        </w:rPr>
        <w:t xml:space="preserve">та СП Харківської області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Cs w:val="28"/>
        </w:rPr>
      </w:pPr>
      <w:r>
        <w:rPr>
          <w:szCs w:val="28"/>
        </w:rPr>
        <w:t xml:space="preserve">підполковник    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Cs w:val="28"/>
        </w:rPr>
      </w:pPr>
      <w:r>
        <w:rPr>
          <w:szCs w:val="28"/>
        </w:rPr>
        <w:t xml:space="preserve">_________ Руслан КОЛЄСНІК 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 w:val="24"/>
        </w:rPr>
      </w:pPr>
      <w:r>
        <w:rPr>
          <w:szCs w:val="28"/>
        </w:rPr>
        <w:t xml:space="preserve">«____» ____________ 2026</w:t>
      </w:r>
      <w:r>
        <w:rPr>
          <w:szCs w:val="28"/>
        </w:rPr>
        <w:t xml:space="preserve"> року</w:t>
      </w:r>
      <w:r>
        <w:rPr>
          <w:sz w:val="24"/>
        </w:rPr>
      </w:r>
      <w:r>
        <w:rPr>
          <w:sz w:val="24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 w:left="5670"/>
        <w:contextualSpacing w:val="true"/>
        <w:rPr>
          <w:sz w:val="24"/>
        </w:rPr>
        <w:sectPr>
          <w:footnotePr/>
          <w:endnotePr/>
          <w:type w:val="nextPage"/>
          <w:pgSz w:h="16838" w:orient="portrait" w:w="11906"/>
          <w:pgMar w:top="1134" w:right="567" w:bottom="822" w:left="1701" w:header="708" w:footer="708" w:gutter="0"/>
          <w:cols w:num="1" w:sep="0" w:space="708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Bdr/>
        <w:spacing/>
        <w:ind w:left="9639"/>
        <w:contextualSpacing w:val="true"/>
        <w:rPr>
          <w:sz w:val="24"/>
        </w:rPr>
      </w:pPr>
      <w:r>
        <w:rPr>
          <w:sz w:val="24"/>
        </w:rPr>
        <w:t xml:space="preserve">Додаток </w:t>
      </w:r>
      <w:r>
        <w:rPr>
          <w:sz w:val="24"/>
        </w:rPr>
        <w:t xml:space="preserve">2</w:t>
      </w:r>
      <w:r>
        <w:rPr>
          <w:sz w:val="24"/>
        </w:rPr>
      </w:r>
      <w:r>
        <w:rPr>
          <w:sz w:val="24"/>
        </w:rPr>
      </w:r>
    </w:p>
    <w:p>
      <w:pPr>
        <w:pBdr/>
        <w:spacing/>
        <w:ind w:left="9639"/>
        <w:contextualSpacing w:val="true"/>
        <w:rPr>
          <w:sz w:val="24"/>
          <w:szCs w:val="24"/>
        </w:rPr>
      </w:pPr>
      <w:r>
        <w:rPr>
          <w:sz w:val="24"/>
        </w:rPr>
        <w:t xml:space="preserve">до рішення виконкому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1A6E1003">
      <w:pPr>
        <w:pBdr/>
        <w:spacing/>
        <w:ind w:left="9639"/>
        <w:contextualSpacing w:val="true"/>
        <w:rPr>
          <w:sz w:val="24"/>
          <w:szCs w:val="24"/>
        </w:rPr>
      </w:pPr>
      <w:r>
        <w:rPr>
          <w:sz w:val="24"/>
        </w:rPr>
        <w:t xml:space="preserve">Берестинської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left="9639"/>
        <w:contextualSpacing w:val="true"/>
        <w:rPr>
          <w:sz w:val="24"/>
        </w:rPr>
      </w:pPr>
      <w:r>
        <w:rPr>
          <w:sz w:val="24"/>
        </w:rPr>
        <w:t xml:space="preserve">від 1</w:t>
      </w:r>
      <w:r>
        <w:rPr>
          <w:sz w:val="24"/>
        </w:rPr>
        <w:t xml:space="preserve">5</w:t>
      </w:r>
      <w:r>
        <w:rPr>
          <w:sz w:val="24"/>
        </w:rPr>
        <w:t xml:space="preserve">.01.202</w:t>
      </w:r>
      <w:r>
        <w:rPr>
          <w:sz w:val="24"/>
        </w:rPr>
        <w:t xml:space="preserve">6</w:t>
      </w:r>
      <w:bookmarkStart w:id="12" w:name="_GoBack"/>
      <w:r/>
      <w:bookmarkEnd w:id="12"/>
      <w:r>
        <w:rPr>
          <w:sz w:val="24"/>
        </w:rPr>
        <w:t xml:space="preserve">  № </w:t>
      </w:r>
      <w:r>
        <w:rPr>
          <w:sz w:val="24"/>
        </w:rPr>
        <w:t xml:space="preserve">26</w:t>
      </w:r>
      <w:r>
        <w:rPr>
          <w:sz w:val="24"/>
        </w:rPr>
      </w:r>
    </w:p>
    <w:p>
      <w:pPr>
        <w:pBdr/>
        <w:spacing/>
        <w:ind/>
        <w:contextualSpacing w:val="true"/>
        <w:jc w:val="center"/>
        <w:rPr>
          <w:i/>
          <w:szCs w:val="28"/>
        </w:rPr>
      </w:pPr>
      <w:r>
        <w:rPr>
          <w:i/>
          <w:szCs w:val="28"/>
        </w:rPr>
      </w:r>
      <w:r>
        <w:rPr>
          <w:i/>
          <w:szCs w:val="28"/>
        </w:rPr>
      </w:r>
      <w:r>
        <w:rPr>
          <w:i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  <w:t xml:space="preserve">ПЕРЕЛІК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contextualSpacing w:val="true"/>
        <w:jc w:val="center"/>
        <w:rPr>
          <w:b/>
          <w:szCs w:val="28"/>
        </w:rPr>
      </w:pPr>
      <w:r>
        <w:rPr>
          <w:b/>
          <w:szCs w:val="28"/>
        </w:rPr>
        <w:t xml:space="preserve">замовників суспільно корисних робіт </w:t>
      </w:r>
      <w:r>
        <w:rPr>
          <w:b/>
          <w:szCs w:val="28"/>
        </w:rPr>
        <w:t xml:space="preserve">Берестин</w:t>
      </w:r>
      <w:r>
        <w:rPr>
          <w:b/>
          <w:szCs w:val="28"/>
        </w:rPr>
        <w:t xml:space="preserve">ської територіальної громади та об</w:t>
      </w:r>
      <w:r>
        <w:rPr>
          <w:b/>
          <w:szCs w:val="28"/>
        </w:rPr>
        <w:t xml:space="preserve">’</w:t>
      </w:r>
      <w:r>
        <w:rPr>
          <w:b/>
          <w:szCs w:val="28"/>
        </w:rPr>
        <w:t xml:space="preserve">єкти,</w:t>
      </w:r>
      <w:r>
        <w:rPr>
          <w:b/>
          <w:szCs w:val="28"/>
        </w:rPr>
        <w:t xml:space="preserve"> де будуть працювати працездатні особи</w:t>
      </w:r>
      <w:r>
        <w:rPr>
          <w:b/>
          <w:szCs w:val="28"/>
        </w:rPr>
        <w:t xml:space="preserve">, </w:t>
      </w:r>
      <w:r>
        <w:rPr>
          <w:b/>
          <w:szCs w:val="28"/>
        </w:rPr>
        <w:t xml:space="preserve">в тому числі зареєстровані як безробітні, у період дії воєнного стану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tbl>
      <w:tblPr>
        <w:tblStyle w:val="914"/>
        <w:tblInd w:w="108" w:type="dxa"/>
        <w:tblW w:w="15341" w:type="dxa"/>
        <w:tblBorders/>
        <w:tblLayout w:type="fixed"/>
        <w:tblLook w:val="04A0" w:firstRow="1" w:lastRow="0" w:firstColumn="1" w:lastColumn="0" w:noHBand="0" w:noVBand="1"/>
      </w:tblPr>
      <w:tblGrid>
        <w:gridCol w:w="599"/>
        <w:gridCol w:w="1701"/>
        <w:gridCol w:w="1701"/>
        <w:gridCol w:w="1912"/>
        <w:gridCol w:w="850"/>
        <w:gridCol w:w="1066"/>
        <w:gridCol w:w="709"/>
        <w:gridCol w:w="708"/>
        <w:gridCol w:w="1701"/>
        <w:gridCol w:w="1559"/>
        <w:gridCol w:w="1134"/>
        <w:gridCol w:w="1701"/>
      </w:tblGrid>
      <w:tr>
        <w:trPr>
          <w:trHeight w:val="912"/>
        </w:trPr>
        <w:tc>
          <w:tcPr>
            <w:tcBorders/>
            <w:tcW w:w="599" w:type="dxa"/>
            <w:vAlign w:val="center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Align w:val="center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Замовник (підприємство, установа, організація) суспільно корисних робіт, де працюватимуть працездатні особи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Align w:val="center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Об’єкти, на якому виконуються суспільно корисні роботи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912" w:type="dxa"/>
            <w:vAlign w:val="center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Види суспільно корисних робіт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850" w:type="dxa"/>
            <w:vAlign w:val="center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Кількість осіб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gridSpan w:val="3"/>
            <w:tcBorders/>
            <w:tcW w:w="2483" w:type="dxa"/>
            <w:vAlign w:val="center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Критерії відбору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(за потреби)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Межі території, транспортні маршрути (або організація доставки до місця проведення суспільно корисних робіт)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559" w:type="dxa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Місце та час збору працездатних осіб, що залучаються до виконання суспільно корисних робіт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134" w:type="dxa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Строк вико навик суспільно корисних робіт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restart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Посадові особи, які відповідають за інформування оповіщення та збір працездатних осіб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rPr>
          <w:cantSplit/>
          <w:trHeight w:val="1824"/>
        </w:trPr>
        <w:tc>
          <w:tcPr>
            <w:tcBorders/>
            <w:tcW w:w="599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912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850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066" w:type="dxa"/>
            <w:vAlign w:val="center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вік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W w:w="709" w:type="dxa"/>
            <w:vAlign w:val="center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професія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W w:w="708" w:type="dxa"/>
            <w:vAlign w:val="center"/>
            <w:textDirection w:val="btLr"/>
            <w:noWrap w:val="false"/>
          </w:tcPr>
          <w:p>
            <w:pPr>
              <w:pStyle w:val="913"/>
              <w:pBdr/>
              <w:spacing/>
              <w:ind w:right="113"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спеціальність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559" w:type="dxa"/>
            <w:vMerge w:val="continue"/>
            <w:textDirection w:val="btLr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134" w:type="dxa"/>
            <w:vMerge w:val="continue"/>
            <w:textDirection w:val="btLr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01" w:type="dxa"/>
            <w:vMerge w:val="continue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Берестинська міська рада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80" w:left="-136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Об’єкти на території Берестинської  територіальної громади (адмінбудівлі, багатоповерхові будинки та інші об’єкти)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Згідно Додатку 1 «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Перелік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ської територіальної громади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Щомісячно до 20 осіб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  18 до набуття права на пенсію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79" w:left="-13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Територія населених пунктів Берестинської територіальної громади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right="-105"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Адмінбудівлі міської ради та старостинських округів, 8.00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right="-111" w:left="-1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Період дії воєнного стану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Начальник відділу житлово-комунального господарства та благоустрою міської ради, старости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Територіальний центр соціального обслуговування (надання соціальних послуг) Берестинської міської ради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За місцем проживання/ перебування отримувачів соціальних послуг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Згідно Додатку 1 «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Перелік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ської територіальної громади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Щомісячно до 8 осіб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  18 до набуття права на пенсію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79" w:left="-13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Територія населених 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унктів Берестинської та Наталин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ської територіальних громад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right="-105" w:left="-11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Адмінбудівля установи, 08.00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right="-111" w:left="-1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Період дії воєнного стану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Інспектор з відділу кадрів територіального центру соціального обслуговування (надання соціальних послуг) Берестинської міської ради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Комунальне некомерційне підприємство «Берестинська міська лікарня»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Відділення лікарні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Згідно Додатку 1 «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Перелік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ської територіальної громади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Щомісячно до 5 осіб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  18 до набуття права на пенсію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79" w:left="-13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Територія лікарні, транспортні маршрути не передбачені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right="-105" w:left="-11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Адмінбудівля установи, 08.00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right="-111" w:left="-1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Період дії воєнного стану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108" w:left="-105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Інспектор з  кадрів комунального некомерційного  підприємства «Берестинська міська лікарня»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Берестинський комбінат комунальних підприємств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80" w:left="-136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Об’єкти на території Берестинської територіальної громади, об’єкти благоустрою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Згідно Додатку 1 «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Перелік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ської територіальної громади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Щомісячно до 3 осіб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  18 до набуття права на пенсію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79" w:left="-13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Територія міста Берестин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right="-105" w:left="-11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Адмінбудівля підприємства, 08.00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right="-111" w:left="-1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Період дії воєнного стану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Директор Берестинського комбінату комунальних підприємств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9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Берестинське житлове ремонтно-експлуатаційне підприємство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Житлові будинки у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м. Берестин, прибудинкові території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912" w:type="dxa"/>
            <w:textDirection w:val="lrTb"/>
            <w:noWrap w:val="false"/>
          </w:tcPr>
          <w:p>
            <w:pPr>
              <w:pBdr/>
              <w:spacing/>
              <w:ind w:right="-152" w:left="-136"/>
              <w:contextualSpacing w:val="tru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Згідно Додатку 1 «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Перелік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913"/>
              <w:pBdr/>
              <w:spacing/>
              <w:ind w:right="-152" w:left="-136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видів суспільно корисних робіт, що виконуються в умовах воєнного стану, до виконання яких залучаються працездатні особи, в тому числі безробітні, на території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ської територіальної громади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Щомісячно до 3 осіб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06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  18 до набуття права на пенсію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708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 вимог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right="-79" w:left="-13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Територія міста Берестин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Style w:val="913"/>
              <w:pBdr/>
              <w:spacing/>
              <w:ind w:right="-105" w:left="-11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Адмінбудівля підприємства, 08.00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913"/>
              <w:pBdr/>
              <w:spacing/>
              <w:ind w:right="-111" w:left="-1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Період дії воєнного стану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Style w:val="913"/>
              <w:pBdr/>
              <w:spacing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Директор Берестинськогожитлового ремонтно-експлуатаційного підприємства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</w:tr>
    </w:tbl>
    <w:p w14:paraId="33B603E5">
      <w:pPr>
        <w:pBdr/>
        <w:spacing/>
        <w:ind/>
        <w:contextualSpacing w:val="true"/>
        <w:jc w:val="center"/>
        <w:rPr>
          <w:b/>
          <w:bCs/>
        </w:rPr>
      </w:pPr>
      <w:r>
        <w:rPr>
          <w:b/>
          <w:szCs w:val="28"/>
        </w:rPr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contextualSpacing w:val="true"/>
        <w:jc w:val="center"/>
        <w:rPr>
          <w:b/>
          <w:bCs/>
        </w:rPr>
      </w:pPr>
      <w:r>
        <w:rPr>
          <w:b/>
          <w:szCs w:val="28"/>
        </w:rPr>
      </w:r>
      <w:r>
        <w:rPr>
          <w:b/>
          <w:bCs/>
        </w:rPr>
      </w:r>
      <w:r>
        <w:rPr>
          <w:b/>
          <w:bCs/>
        </w:rPr>
      </w:r>
    </w:p>
    <w:p>
      <w:pPr>
        <w:pBdr/>
        <w:shd w:val="clear" w:color="auto" w:fill="ffffff"/>
        <w:spacing/>
        <w:ind w:firstLine="450"/>
        <w:jc w:val="both"/>
        <w:rPr>
          <w:color w:val="ff0000"/>
          <w:szCs w:val="28"/>
          <w:lang w:eastAsia="uk-UA"/>
        </w:rPr>
      </w:pPr>
      <w:r>
        <w:rPr>
          <w:color w:val="ff0000"/>
          <w:szCs w:val="28"/>
          <w:lang w:eastAsia="uk-UA"/>
        </w:rPr>
      </w:r>
      <w:r>
        <w:rPr>
          <w:color w:val="ff0000"/>
          <w:szCs w:val="28"/>
          <w:lang w:eastAsia="uk-UA"/>
        </w:rPr>
      </w:r>
      <w:r>
        <w:rPr>
          <w:color w:val="ff0000"/>
          <w:szCs w:val="28"/>
          <w:lang w:eastAsia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Керуючий справами (секретар) виконавчого комітету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</w:t>
      </w:r>
      <w:r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 xml:space="preserve">Катерина ХУДЯКОВА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5"/>
        <w:pBdr/>
        <w:shd w:val="clear" w:color="auto" w:fill="ffffff"/>
        <w:spacing w:after="0" w:afterAutospacing="0" w:before="0" w:beforeAutospacing="0"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ПОГОДЖЕНО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Начальник </w:t>
      </w:r>
      <w:r>
        <w:rPr>
          <w:color w:val="000000" w:themeColor="text1"/>
          <w:szCs w:val="28"/>
        </w:rPr>
        <w:t xml:space="preserve">Берестин</w:t>
      </w:r>
      <w:r>
        <w:rPr>
          <w:color w:val="000000" w:themeColor="text1"/>
          <w:szCs w:val="28"/>
        </w:rPr>
        <w:t xml:space="preserve">ського РТЦК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та СП Харківської області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підполковник    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_________ Руслан КОЛЄСНІК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«___» ____________ 202</w:t>
      </w:r>
      <w:r>
        <w:rPr>
          <w:color w:val="000000" w:themeColor="text1"/>
          <w:szCs w:val="28"/>
        </w:rPr>
        <w:t xml:space="preserve">6</w:t>
      </w:r>
      <w:r>
        <w:rPr>
          <w:color w:val="000000" w:themeColor="text1"/>
          <w:szCs w:val="28"/>
        </w:rPr>
        <w:t xml:space="preserve"> року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sectPr>
      <w:footnotePr/>
      <w:endnotePr/>
      <w:type w:val="nextPage"/>
      <w:pgSz w:h="11906" w:orient="landscape" w:w="16838"/>
      <w:pgMar w:top="1701" w:right="1134" w:bottom="567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Segoe UI">
    <w:panose1 w:val="020B0502040204020203"/>
  </w:font>
  <w:font w:name="Verdan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D5635"/>
    <w:lvl w:ilvl="0">
      <w:isLgl w:val="false"/>
      <w:lvlJc w:val="left"/>
      <w:lvlText w:val="%1)"/>
      <w:numFmt w:val="decimal"/>
      <w:pPr>
        <w:pBdr/>
        <w:spacing/>
        <w:ind w:hanging="360" w:left="1069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1">
    <w:nsid w:val="187D376F"/>
    <w:lvl w:ilvl="0">
      <w:isLgl w:val="false"/>
      <w:lvlJc w:val="left"/>
      <w:lvlText w:val="%1."/>
      <w:numFmt w:val="decimal"/>
      <w:pPr>
        <w:pBdr/>
        <w:spacing/>
        <w:ind w:hanging="360" w:left="92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abstractNum w:abstractNumId="2">
    <w:nsid w:val="1F262F65"/>
    <w:lvl w:ilvl="0">
      <w:isLgl w:val="false"/>
      <w:lvlJc w:val="left"/>
      <w:lvlText w:val="%1."/>
      <w:numFmt w:val="decimal"/>
      <w:pPr>
        <w:pBdr/>
        <w:spacing/>
        <w:ind w:hanging="360" w:left="81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3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5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7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9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1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3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5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70"/>
      </w:pPr>
      <w:rPr/>
      <w:start w:val="1"/>
      <w:suff w:val="tab"/>
    </w:lvl>
  </w:abstractNum>
  <w:abstractNum w:abstractNumId="3">
    <w:nsid w:val="233E29E0"/>
    <w:lvl w:ilvl="0">
      <w:isLgl w:val="false"/>
      <w:lvlJc w:val="left"/>
      <w:lvlText w:val="%1."/>
      <w:numFmt w:val="decimal"/>
      <w:pPr>
        <w:pBdr/>
        <w:spacing/>
        <w:ind w:hanging="360" w:left="81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3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5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7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9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1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3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5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70"/>
      </w:pPr>
      <w:rPr/>
      <w:start w:val="1"/>
      <w:suff w:val="tab"/>
    </w:lvl>
  </w:abstractNum>
  <w:abstractNum w:abstractNumId="4">
    <w:nsid w:val="2B7E442E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">
    <w:nsid w:val="4ABF49DB"/>
    <w:lvl w:ilvl="0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7560"/>
        </w:tabs>
        <w:spacing/>
        <w:ind w:hanging="360" w:left="75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8280"/>
        </w:tabs>
        <w:spacing/>
        <w:ind w:hanging="360" w:left="8280"/>
      </w:pPr>
      <w:rPr>
        <w:rFonts w:hint="default" w:ascii="Wingdings" w:hAnsi="Wingdings"/>
      </w:rPr>
      <w:start w:val="1"/>
      <w:suff w:val="tab"/>
    </w:lvl>
  </w:abstractNum>
  <w:abstractNum w:abstractNumId="6">
    <w:nsid w:val="233E29E0"/>
    <w:lvl w:ilvl="0">
      <w:isLgl w:val="false"/>
      <w:lvlJc w:val="left"/>
      <w:lvlText w:val="%1."/>
      <w:numFmt w:val="decimal"/>
      <w:pPr>
        <w:pBdr/>
        <w:spacing/>
        <w:ind w:hanging="360" w:left="81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3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5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7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9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1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3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5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70"/>
      </w:pPr>
      <w:rPr>
        <w:rFonts w:cs="Times New Roman"/>
      </w:rPr>
      <w:start w:val="1"/>
      <w:suff w:val="tab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 Light"/>
    <w:basedOn w:val="89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89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89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8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8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8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2"/>
    <w:basedOn w:val="895"/>
    <w:next w:val="895"/>
    <w:link w:val="84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1">
    <w:name w:val="Heading 3"/>
    <w:basedOn w:val="895"/>
    <w:next w:val="895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2">
    <w:name w:val="Heading 4"/>
    <w:basedOn w:val="895"/>
    <w:next w:val="895"/>
    <w:link w:val="85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3">
    <w:name w:val="Heading 5"/>
    <w:basedOn w:val="895"/>
    <w:next w:val="895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4">
    <w:name w:val="Heading 6"/>
    <w:basedOn w:val="895"/>
    <w:next w:val="895"/>
    <w:link w:val="85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5">
    <w:name w:val="Heading 7"/>
    <w:basedOn w:val="895"/>
    <w:next w:val="895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6">
    <w:name w:val="Heading 8"/>
    <w:basedOn w:val="895"/>
    <w:next w:val="895"/>
    <w:link w:val="85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Heading 9"/>
    <w:basedOn w:val="895"/>
    <w:next w:val="895"/>
    <w:link w:val="85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1 Char"/>
    <w:basedOn w:val="897"/>
    <w:link w:val="89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9">
    <w:name w:val="Heading 2 Char"/>
    <w:basedOn w:val="89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0">
    <w:name w:val="Heading 3 Char"/>
    <w:basedOn w:val="897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1">
    <w:name w:val="Heading 4 Char"/>
    <w:basedOn w:val="897"/>
    <w:link w:val="8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2">
    <w:name w:val="Heading 5 Char"/>
    <w:basedOn w:val="897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3">
    <w:name w:val="Heading 6 Char"/>
    <w:basedOn w:val="897"/>
    <w:link w:val="8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4">
    <w:name w:val="Heading 7 Char"/>
    <w:basedOn w:val="897"/>
    <w:link w:val="8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5">
    <w:name w:val="Heading 8 Char"/>
    <w:basedOn w:val="89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9 Char"/>
    <w:basedOn w:val="897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Title Char"/>
    <w:basedOn w:val="897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8">
    <w:name w:val="Subtitle"/>
    <w:basedOn w:val="895"/>
    <w:next w:val="895"/>
    <w:link w:val="85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9">
    <w:name w:val="Subtitle Char"/>
    <w:basedOn w:val="897"/>
    <w:link w:val="85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0">
    <w:name w:val="Quote"/>
    <w:basedOn w:val="895"/>
    <w:next w:val="895"/>
    <w:link w:val="86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1">
    <w:name w:val="Quote Char"/>
    <w:basedOn w:val="897"/>
    <w:link w:val="86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2">
    <w:name w:val="Intense Emphasis"/>
    <w:basedOn w:val="89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3">
    <w:name w:val="Intense Quote"/>
    <w:basedOn w:val="895"/>
    <w:next w:val="895"/>
    <w:link w:val="8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4">
    <w:name w:val="Intense Quote Char"/>
    <w:basedOn w:val="897"/>
    <w:link w:val="86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5">
    <w:name w:val="Intense Reference"/>
    <w:basedOn w:val="89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6">
    <w:name w:val="No Spacing"/>
    <w:basedOn w:val="895"/>
    <w:uiPriority w:val="1"/>
    <w:qFormat/>
    <w:pPr>
      <w:pBdr/>
      <w:spacing w:after="0" w:line="240" w:lineRule="auto"/>
      <w:ind/>
    </w:pPr>
  </w:style>
  <w:style w:type="character" w:styleId="867">
    <w:name w:val="Subtle Emphasis"/>
    <w:basedOn w:val="89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8">
    <w:name w:val="Emphasis"/>
    <w:basedOn w:val="897"/>
    <w:uiPriority w:val="20"/>
    <w:qFormat/>
    <w:pPr>
      <w:pBdr/>
      <w:spacing/>
      <w:ind/>
    </w:pPr>
    <w:rPr>
      <w:i/>
      <w:iCs/>
    </w:rPr>
  </w:style>
  <w:style w:type="character" w:styleId="869">
    <w:name w:val="Strong"/>
    <w:basedOn w:val="897"/>
    <w:uiPriority w:val="22"/>
    <w:qFormat/>
    <w:pPr>
      <w:pBdr/>
      <w:spacing/>
      <w:ind/>
    </w:pPr>
    <w:rPr>
      <w:b/>
      <w:bCs/>
    </w:rPr>
  </w:style>
  <w:style w:type="character" w:styleId="870">
    <w:name w:val="Subtle Reference"/>
    <w:basedOn w:val="89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1">
    <w:name w:val="Book Title"/>
    <w:basedOn w:val="89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72">
    <w:name w:val="Header Char"/>
    <w:basedOn w:val="897"/>
    <w:link w:val="909"/>
    <w:uiPriority w:val="99"/>
    <w:pPr>
      <w:pBdr/>
      <w:spacing/>
      <w:ind/>
    </w:pPr>
  </w:style>
  <w:style w:type="character" w:styleId="873">
    <w:name w:val="Footer Char"/>
    <w:basedOn w:val="897"/>
    <w:link w:val="911"/>
    <w:uiPriority w:val="99"/>
    <w:pPr>
      <w:pBdr/>
      <w:spacing/>
      <w:ind/>
    </w:pPr>
  </w:style>
  <w:style w:type="paragraph" w:styleId="874">
    <w:name w:val="Caption"/>
    <w:basedOn w:val="895"/>
    <w:next w:val="89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5">
    <w:name w:val="footnote text"/>
    <w:basedOn w:val="895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Footnote Text Char"/>
    <w:basedOn w:val="897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footnote reference"/>
    <w:basedOn w:val="897"/>
    <w:uiPriority w:val="99"/>
    <w:semiHidden/>
    <w:unhideWhenUsed/>
    <w:pPr>
      <w:pBdr/>
      <w:spacing/>
      <w:ind/>
    </w:pPr>
    <w:rPr>
      <w:vertAlign w:val="superscript"/>
    </w:rPr>
  </w:style>
  <w:style w:type="paragraph" w:styleId="878">
    <w:name w:val="endnote text"/>
    <w:basedOn w:val="895"/>
    <w:link w:val="87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9">
    <w:name w:val="Endnote Text Char"/>
    <w:basedOn w:val="897"/>
    <w:link w:val="878"/>
    <w:uiPriority w:val="99"/>
    <w:semiHidden/>
    <w:pPr>
      <w:pBdr/>
      <w:spacing/>
      <w:ind/>
    </w:pPr>
    <w:rPr>
      <w:sz w:val="20"/>
      <w:szCs w:val="20"/>
    </w:rPr>
  </w:style>
  <w:style w:type="character" w:styleId="880">
    <w:name w:val="endnote reference"/>
    <w:basedOn w:val="897"/>
    <w:uiPriority w:val="99"/>
    <w:semiHidden/>
    <w:unhideWhenUsed/>
    <w:pPr>
      <w:pBdr/>
      <w:spacing/>
      <w:ind/>
    </w:pPr>
    <w:rPr>
      <w:vertAlign w:val="superscript"/>
    </w:rPr>
  </w:style>
  <w:style w:type="character" w:styleId="881">
    <w:name w:val="Hyperlink"/>
    <w:basedOn w:val="89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2">
    <w:name w:val="FollowedHyperlink"/>
    <w:basedOn w:val="8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3">
    <w:name w:val="toc 1"/>
    <w:basedOn w:val="895"/>
    <w:next w:val="895"/>
    <w:uiPriority w:val="39"/>
    <w:unhideWhenUsed/>
    <w:pPr>
      <w:pBdr/>
      <w:spacing w:after="100"/>
      <w:ind/>
    </w:pPr>
  </w:style>
  <w:style w:type="paragraph" w:styleId="884">
    <w:name w:val="toc 2"/>
    <w:basedOn w:val="895"/>
    <w:next w:val="895"/>
    <w:uiPriority w:val="39"/>
    <w:unhideWhenUsed/>
    <w:pPr>
      <w:pBdr/>
      <w:spacing w:after="100"/>
      <w:ind w:left="220"/>
    </w:pPr>
  </w:style>
  <w:style w:type="paragraph" w:styleId="885">
    <w:name w:val="toc 3"/>
    <w:basedOn w:val="895"/>
    <w:next w:val="895"/>
    <w:uiPriority w:val="39"/>
    <w:unhideWhenUsed/>
    <w:pPr>
      <w:pBdr/>
      <w:spacing w:after="100"/>
      <w:ind w:left="440"/>
    </w:pPr>
  </w:style>
  <w:style w:type="paragraph" w:styleId="886">
    <w:name w:val="toc 4"/>
    <w:basedOn w:val="895"/>
    <w:next w:val="895"/>
    <w:uiPriority w:val="39"/>
    <w:unhideWhenUsed/>
    <w:pPr>
      <w:pBdr/>
      <w:spacing w:after="100"/>
      <w:ind w:left="660"/>
    </w:pPr>
  </w:style>
  <w:style w:type="paragraph" w:styleId="887">
    <w:name w:val="toc 5"/>
    <w:basedOn w:val="895"/>
    <w:next w:val="895"/>
    <w:uiPriority w:val="39"/>
    <w:unhideWhenUsed/>
    <w:pPr>
      <w:pBdr/>
      <w:spacing w:after="100"/>
      <w:ind w:left="880"/>
    </w:pPr>
  </w:style>
  <w:style w:type="paragraph" w:styleId="888">
    <w:name w:val="toc 6"/>
    <w:basedOn w:val="895"/>
    <w:next w:val="895"/>
    <w:uiPriority w:val="39"/>
    <w:unhideWhenUsed/>
    <w:pPr>
      <w:pBdr/>
      <w:spacing w:after="100"/>
      <w:ind w:left="1100"/>
    </w:pPr>
  </w:style>
  <w:style w:type="paragraph" w:styleId="889">
    <w:name w:val="toc 7"/>
    <w:basedOn w:val="895"/>
    <w:next w:val="895"/>
    <w:uiPriority w:val="39"/>
    <w:unhideWhenUsed/>
    <w:pPr>
      <w:pBdr/>
      <w:spacing w:after="100"/>
      <w:ind w:left="1320"/>
    </w:pPr>
  </w:style>
  <w:style w:type="paragraph" w:styleId="890">
    <w:name w:val="toc 8"/>
    <w:basedOn w:val="895"/>
    <w:next w:val="895"/>
    <w:uiPriority w:val="39"/>
    <w:unhideWhenUsed/>
    <w:pPr>
      <w:pBdr/>
      <w:spacing w:after="100"/>
      <w:ind w:left="1540"/>
    </w:pPr>
  </w:style>
  <w:style w:type="paragraph" w:styleId="891">
    <w:name w:val="toc 9"/>
    <w:basedOn w:val="895"/>
    <w:next w:val="895"/>
    <w:uiPriority w:val="39"/>
    <w:unhideWhenUsed/>
    <w:pPr>
      <w:pBdr/>
      <w:spacing w:after="100"/>
      <w:ind w:left="1760"/>
    </w:pPr>
  </w:style>
  <w:style w:type="character" w:styleId="892">
    <w:name w:val="Placeholder Text"/>
    <w:basedOn w:val="897"/>
    <w:uiPriority w:val="99"/>
    <w:semiHidden/>
    <w:pPr>
      <w:pBdr/>
      <w:spacing/>
      <w:ind/>
    </w:pPr>
    <w:rPr>
      <w:color w:val="666666"/>
    </w:rPr>
  </w:style>
  <w:style w:type="paragraph" w:styleId="893">
    <w:name w:val="TOC Heading"/>
    <w:uiPriority w:val="39"/>
    <w:unhideWhenUsed/>
    <w:pPr>
      <w:pBdr/>
      <w:spacing/>
      <w:ind/>
    </w:pPr>
  </w:style>
  <w:style w:type="paragraph" w:styleId="894">
    <w:name w:val="table of figures"/>
    <w:basedOn w:val="895"/>
    <w:next w:val="895"/>
    <w:uiPriority w:val="99"/>
    <w:unhideWhenUsed/>
    <w:pPr>
      <w:pBdr/>
      <w:spacing w:after="0" w:afterAutospacing="0"/>
      <w:ind/>
    </w:pPr>
  </w:style>
  <w:style w:type="paragraph" w:styleId="895" w:default="1">
    <w:name w:val="Normal"/>
    <w:qFormat/>
    <w:pPr>
      <w:pBdr/>
      <w:spacing/>
      <w:ind/>
    </w:pPr>
    <w:rPr>
      <w:sz w:val="28"/>
      <w:szCs w:val="24"/>
      <w:lang w:val="uk-UA"/>
    </w:rPr>
  </w:style>
  <w:style w:type="paragraph" w:styleId="896">
    <w:name w:val="Heading 1"/>
    <w:basedOn w:val="895"/>
    <w:next w:val="895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character" w:styleId="897" w:default="1">
    <w:name w:val="Default Paragraph Font"/>
    <w:uiPriority w:val="1"/>
    <w:semiHidden/>
    <w:unhideWhenUsed/>
    <w:pPr>
      <w:pBdr/>
      <w:spacing/>
      <w:ind/>
    </w:pPr>
  </w:style>
  <w:style w:type="table" w:styleId="89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 w:default="1">
    <w:name w:val="No List"/>
    <w:uiPriority w:val="99"/>
    <w:semiHidden/>
    <w:unhideWhenUsed/>
    <w:pPr>
      <w:pBdr/>
      <w:spacing/>
      <w:ind/>
    </w:pPr>
  </w:style>
  <w:style w:type="paragraph" w:styleId="900">
    <w:name w:val="Title"/>
    <w:basedOn w:val="895"/>
    <w:qFormat/>
    <w:pPr>
      <w:pBdr/>
      <w:spacing/>
      <w:ind w:right="21" w:firstLine="540"/>
      <w:jc w:val="center"/>
    </w:pPr>
    <w:rPr>
      <w:rFonts w:ascii="Courier New" w:hAnsi="Courier New" w:cs="Courier New"/>
      <w:b/>
      <w:bCs/>
      <w:szCs w:val="28"/>
    </w:rPr>
  </w:style>
  <w:style w:type="paragraph" w:styleId="901" w:customStyle="1">
    <w:name w:val="Знак"/>
    <w:basedOn w:val="895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2" w:customStyle="1">
    <w:name w:val="Знак Знак Знак Знак"/>
    <w:basedOn w:val="895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3">
    <w:name w:val="Body Text"/>
    <w:basedOn w:val="895"/>
    <w:link w:val="904"/>
    <w:pPr>
      <w:pBdr/>
      <w:tabs>
        <w:tab w:val="left" w:leader="none" w:pos="7088"/>
      </w:tabs>
      <w:spacing/>
      <w:ind/>
    </w:pPr>
    <w:rPr>
      <w:szCs w:val="20"/>
    </w:rPr>
  </w:style>
  <w:style w:type="character" w:styleId="904" w:customStyle="1">
    <w:name w:val="Основний текст Знак"/>
    <w:link w:val="903"/>
    <w:pPr>
      <w:pBdr/>
      <w:spacing/>
      <w:ind/>
    </w:pPr>
    <w:rPr>
      <w:sz w:val="28"/>
      <w:lang w:val="uk-UA"/>
    </w:rPr>
  </w:style>
  <w:style w:type="paragraph" w:styleId="905">
    <w:name w:val="Normal (Web)"/>
    <w:basedOn w:val="895"/>
    <w:uiPriority w:val="99"/>
    <w:pPr>
      <w:pBdr/>
      <w:spacing w:after="100" w:afterAutospacing="1" w:before="100" w:beforeAutospacing="1"/>
      <w:ind/>
    </w:pPr>
    <w:rPr>
      <w:sz w:val="24"/>
      <w:lang w:val="ru-RU"/>
    </w:rPr>
  </w:style>
  <w:style w:type="character" w:styleId="906" w:customStyle="1">
    <w:name w:val="normaltextrun"/>
    <w:basedOn w:val="897"/>
    <w:pPr>
      <w:pBdr/>
      <w:spacing/>
      <w:ind/>
    </w:pPr>
  </w:style>
  <w:style w:type="paragraph" w:styleId="907">
    <w:name w:val="Balloon Text"/>
    <w:basedOn w:val="895"/>
    <w:link w:val="908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8" w:customStyle="1">
    <w:name w:val="Текст у виносці Знак"/>
    <w:link w:val="907"/>
    <w:pPr>
      <w:pBdr/>
      <w:spacing/>
      <w:ind/>
    </w:pPr>
    <w:rPr>
      <w:rFonts w:ascii="Segoe UI" w:hAnsi="Segoe UI" w:cs="Segoe UI"/>
      <w:sz w:val="18"/>
      <w:szCs w:val="18"/>
      <w:lang w:eastAsia="ru-RU"/>
    </w:rPr>
  </w:style>
  <w:style w:type="paragraph" w:styleId="909">
    <w:name w:val="Header"/>
    <w:basedOn w:val="895"/>
    <w:link w:val="910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0" w:customStyle="1">
    <w:name w:val="Верхній колонтитул Знак"/>
    <w:basedOn w:val="897"/>
    <w:link w:val="909"/>
    <w:uiPriority w:val="99"/>
    <w:pPr>
      <w:pBdr/>
      <w:spacing/>
      <w:ind/>
    </w:pPr>
    <w:rPr>
      <w:sz w:val="28"/>
      <w:szCs w:val="24"/>
      <w:lang w:val="uk-UA"/>
    </w:rPr>
  </w:style>
  <w:style w:type="paragraph" w:styleId="911">
    <w:name w:val="Footer"/>
    <w:basedOn w:val="895"/>
    <w:link w:val="912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2" w:customStyle="1">
    <w:name w:val="Нижній колонтитул Знак"/>
    <w:basedOn w:val="897"/>
    <w:link w:val="911"/>
    <w:pPr>
      <w:pBdr/>
      <w:spacing/>
      <w:ind/>
    </w:pPr>
    <w:rPr>
      <w:sz w:val="28"/>
      <w:szCs w:val="24"/>
      <w:lang w:val="uk-UA"/>
    </w:rPr>
  </w:style>
  <w:style w:type="paragraph" w:styleId="913">
    <w:name w:val="List Paragraph"/>
    <w:basedOn w:val="895"/>
    <w:uiPriority w:val="34"/>
    <w:qFormat/>
    <w:pPr>
      <w:pBdr/>
      <w:spacing/>
      <w:ind w:left="720"/>
      <w:contextualSpacing w:val="true"/>
    </w:pPr>
  </w:style>
  <w:style w:type="table" w:styleId="914">
    <w:name w:val="Table Grid"/>
    <w:basedOn w:val="898"/>
    <w:uiPriority w:val="59"/>
    <w:pPr>
      <w:pBdr/>
      <w:spacing/>
      <w:ind/>
    </w:pPr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5" w:customStyle="1">
    <w:name w:val="Основной текст_"/>
    <w:basedOn w:val="897"/>
    <w:link w:val="916"/>
    <w:pPr>
      <w:pBdr/>
      <w:spacing/>
      <w:ind/>
    </w:pPr>
    <w:rPr>
      <w:sz w:val="28"/>
      <w:szCs w:val="28"/>
    </w:rPr>
  </w:style>
  <w:style w:type="paragraph" w:styleId="916" w:customStyle="1">
    <w:name w:val="Основной текст1"/>
    <w:basedOn w:val="895"/>
    <w:link w:val="915"/>
    <w:pPr>
      <w:widowControl w:val="false"/>
      <w:pBdr/>
      <w:spacing w:after="320"/>
      <w:ind w:firstLine="400"/>
    </w:pPr>
    <w:rPr>
      <w:szCs w:val="2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zakon.rada.gov.ua/laws/show/108/95-%D0%B2%D1%8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6B72F-A701-490F-838C-A97446BF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2007</dc:creator>
  <cp:revision>17</cp:revision>
  <dcterms:created xsi:type="dcterms:W3CDTF">2025-01-13T08:29:00Z</dcterms:created>
  <dcterms:modified xsi:type="dcterms:W3CDTF">2026-01-15T09:19:03Z</dcterms:modified>
</cp:coreProperties>
</file>